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tblInd w:w="-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22"/>
        <w:gridCol w:w="3628"/>
      </w:tblGrid>
      <w:tr w:rsidR="00237503">
        <w:tc>
          <w:tcPr>
            <w:tcW w:w="6121" w:type="dxa"/>
            <w:shd w:val="clear" w:color="auto" w:fill="auto"/>
          </w:tcPr>
          <w:p w:rsidR="00237503" w:rsidRDefault="00237503">
            <w:pPr>
              <w:pStyle w:val="a8"/>
              <w:rPr>
                <w:color w:val="000000"/>
                <w:sz w:val="28"/>
                <w:szCs w:val="28"/>
              </w:rPr>
            </w:pPr>
          </w:p>
          <w:p w:rsidR="00237503" w:rsidRDefault="00237503">
            <w:pPr>
              <w:pStyle w:val="a8"/>
              <w:rPr>
                <w:color w:val="000000"/>
                <w:sz w:val="28"/>
                <w:szCs w:val="28"/>
              </w:rPr>
            </w:pPr>
          </w:p>
          <w:p w:rsidR="00237503" w:rsidRDefault="00237503">
            <w:pPr>
              <w:pStyle w:val="a8"/>
              <w:rPr>
                <w:color w:val="000000"/>
                <w:sz w:val="28"/>
                <w:szCs w:val="28"/>
              </w:rPr>
            </w:pPr>
          </w:p>
        </w:tc>
        <w:tc>
          <w:tcPr>
            <w:tcW w:w="3628" w:type="dxa"/>
            <w:shd w:val="clear" w:color="auto" w:fill="auto"/>
          </w:tcPr>
          <w:p w:rsidR="00237503" w:rsidRDefault="004A10E4">
            <w:pPr>
              <w:pStyle w:val="a8"/>
            </w:pPr>
            <w:r>
              <w:rPr>
                <w:color w:val="000000"/>
                <w:sz w:val="28"/>
                <w:szCs w:val="28"/>
              </w:rPr>
              <w:t>Додаток 1</w:t>
            </w:r>
          </w:p>
          <w:p w:rsidR="00237503" w:rsidRDefault="004A10E4">
            <w:pPr>
              <w:pStyle w:val="a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 рішення </w:t>
            </w:r>
          </w:p>
          <w:p w:rsidR="00237503" w:rsidRDefault="004A10E4">
            <w:pPr>
              <w:pStyle w:val="a8"/>
              <w:ind w:left="-5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Решетилівської міської</w:t>
            </w:r>
          </w:p>
          <w:p w:rsidR="00237503" w:rsidRDefault="004A10E4">
            <w:pPr>
              <w:pStyle w:val="a8"/>
              <w:ind w:left="-55" w:right="-19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ради восьмого скликання</w:t>
            </w:r>
          </w:p>
          <w:p w:rsidR="00237503" w:rsidRDefault="004A10E4">
            <w:pPr>
              <w:pStyle w:val="a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березня 2026 року</w:t>
            </w:r>
          </w:p>
          <w:p w:rsidR="00237503" w:rsidRDefault="004A10E4">
            <w:pPr>
              <w:pStyle w:val="a8"/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>2544</w:t>
            </w:r>
            <w:r>
              <w:rPr>
                <w:color w:val="000000"/>
                <w:sz w:val="28"/>
                <w:szCs w:val="28"/>
              </w:rPr>
              <w:t>-</w:t>
            </w:r>
            <w:r w:rsidRPr="004A10E4">
              <w:rPr>
                <w:color w:val="000000"/>
                <w:sz w:val="28"/>
                <w:szCs w:val="28"/>
                <w:lang w:val="ru-RU"/>
              </w:rPr>
              <w:t>67-</w:t>
            </w:r>
            <w:r>
              <w:rPr>
                <w:color w:val="000000"/>
                <w:sz w:val="28"/>
                <w:szCs w:val="28"/>
                <w:lang w:val="en-US"/>
              </w:rPr>
              <w:t>VIII</w:t>
            </w:r>
          </w:p>
          <w:p w:rsidR="00237503" w:rsidRDefault="004A10E4">
            <w:pPr>
              <w:pStyle w:val="a8"/>
            </w:pPr>
            <w:r w:rsidRPr="004A10E4">
              <w:rPr>
                <w:color w:val="000000"/>
                <w:sz w:val="28"/>
                <w:szCs w:val="28"/>
                <w:lang w:val="ru-RU"/>
              </w:rPr>
              <w:t xml:space="preserve">(67 </w:t>
            </w:r>
            <w:r>
              <w:rPr>
                <w:color w:val="000000"/>
                <w:sz w:val="28"/>
                <w:szCs w:val="28"/>
              </w:rPr>
              <w:t>сесія</w:t>
            </w:r>
            <w:r w:rsidRPr="004A10E4">
              <w:rPr>
                <w:color w:val="000000"/>
                <w:sz w:val="28"/>
                <w:szCs w:val="28"/>
                <w:lang w:val="ru-RU"/>
              </w:rPr>
              <w:t>)</w:t>
            </w:r>
          </w:p>
          <w:p w:rsidR="00237503" w:rsidRPr="004A10E4" w:rsidRDefault="00237503">
            <w:pPr>
              <w:pStyle w:val="a8"/>
              <w:rPr>
                <w:color w:val="000000"/>
                <w:sz w:val="28"/>
                <w:szCs w:val="28"/>
                <w:lang w:val="ru-RU"/>
              </w:rPr>
            </w:pPr>
          </w:p>
          <w:p w:rsidR="00237503" w:rsidRDefault="004A10E4">
            <w:pPr>
              <w:pStyle w:val="a8"/>
            </w:pPr>
            <w:r>
              <w:rPr>
                <w:color w:val="000000"/>
                <w:sz w:val="28"/>
                <w:szCs w:val="28"/>
              </w:rPr>
              <w:t>Додаток 4</w:t>
            </w:r>
          </w:p>
          <w:p w:rsidR="00237503" w:rsidRDefault="004A10E4">
            <w:pPr>
              <w:pStyle w:val="a8"/>
            </w:pP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до</w:t>
            </w:r>
            <w:proofErr w:type="spellEnd"/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Програми</w:t>
            </w:r>
            <w:proofErr w:type="spellEnd"/>
          </w:p>
          <w:p w:rsidR="00237503" w:rsidRDefault="00237503">
            <w:pPr>
              <w:pStyle w:val="a8"/>
              <w:rPr>
                <w:color w:val="000000"/>
                <w:sz w:val="28"/>
                <w:szCs w:val="28"/>
              </w:rPr>
            </w:pPr>
          </w:p>
          <w:p w:rsidR="00237503" w:rsidRDefault="00237503">
            <w:pPr>
              <w:pStyle w:val="a8"/>
              <w:rPr>
                <w:color w:val="000000"/>
                <w:sz w:val="28"/>
                <w:szCs w:val="28"/>
              </w:rPr>
            </w:pPr>
          </w:p>
        </w:tc>
      </w:tr>
    </w:tbl>
    <w:p w:rsidR="00237503" w:rsidRDefault="004A10E4">
      <w:pPr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ПОРЯДОК</w:t>
      </w:r>
    </w:p>
    <w:p w:rsidR="00237503" w:rsidRDefault="004A10E4">
      <w:pPr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надання  грошової допомоги Захисникам та Захисницям України, які отримали т</w:t>
      </w:r>
      <w:r>
        <w:rPr>
          <w:rFonts w:cs="Times New Roman"/>
          <w:b/>
          <w:bCs/>
          <w:sz w:val="28"/>
          <w:szCs w:val="28"/>
        </w:rPr>
        <w:t xml:space="preserve">равми (поранення, контузії, каліцтва), одержані під час захисту Батьківщини </w:t>
      </w:r>
    </w:p>
    <w:p w:rsidR="00237503" w:rsidRDefault="00237503">
      <w:pPr>
        <w:jc w:val="center"/>
        <w:rPr>
          <w:rFonts w:cs="Times New Roman"/>
          <w:b/>
          <w:bCs/>
          <w:sz w:val="10"/>
          <w:szCs w:val="10"/>
        </w:rPr>
      </w:pPr>
    </w:p>
    <w:p w:rsidR="00237503" w:rsidRDefault="004A10E4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1. Цей Порядок визначає механізм надання  грошової допомоги особам,</w:t>
      </w:r>
      <w:r>
        <w:rPr>
          <w:rFonts w:cs="Times New Roman"/>
          <w:sz w:val="28"/>
          <w:szCs w:val="28"/>
        </w:rPr>
        <w:t xml:space="preserve"> які були призвані на військову службу відповідно до Указів Президента України  ,,Про введення воєнного стану в</w:t>
      </w: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Україніˮ</w:t>
      </w:r>
      <w:proofErr w:type="spellEnd"/>
      <w:r>
        <w:rPr>
          <w:rFonts w:cs="Times New Roman"/>
          <w:sz w:val="28"/>
          <w:szCs w:val="28"/>
        </w:rPr>
        <w:t xml:space="preserve"> №64/2022 та  ,,Про загальну </w:t>
      </w:r>
      <w:proofErr w:type="spellStart"/>
      <w:r>
        <w:rPr>
          <w:rFonts w:cs="Times New Roman"/>
          <w:sz w:val="28"/>
          <w:szCs w:val="28"/>
        </w:rPr>
        <w:t>мобілізаціюˮ</w:t>
      </w:r>
      <w:proofErr w:type="spellEnd"/>
      <w:r>
        <w:rPr>
          <w:rFonts w:cs="Times New Roman"/>
          <w:sz w:val="28"/>
          <w:szCs w:val="28"/>
        </w:rPr>
        <w:t xml:space="preserve"> №69/2022 та №65/2022 від 24 лютого 2022 року</w:t>
      </w:r>
      <w:r>
        <w:rPr>
          <w:sz w:val="28"/>
          <w:szCs w:val="28"/>
        </w:rPr>
        <w:t>, особам,</w:t>
      </w:r>
      <w:r>
        <w:rPr>
          <w:rFonts w:cs="Times New Roman"/>
          <w:sz w:val="28"/>
          <w:szCs w:val="28"/>
        </w:rPr>
        <w:t xml:space="preserve"> які несуть військову службу за контрактом</w:t>
      </w:r>
      <w:r>
        <w:rPr>
          <w:sz w:val="28"/>
          <w:szCs w:val="28"/>
        </w:rPr>
        <w:t>, в тому числі мобілізованим внутрішньо переміщеним особам</w:t>
      </w:r>
      <w:r>
        <w:rPr>
          <w:rFonts w:cs="Times New Roman"/>
          <w:sz w:val="28"/>
          <w:szCs w:val="28"/>
        </w:rPr>
        <w:t>,</w:t>
      </w:r>
      <w:r>
        <w:rPr>
          <w:sz w:val="28"/>
          <w:szCs w:val="28"/>
        </w:rPr>
        <w:t xml:space="preserve"> за умови  реєстрації даних осіб на території Решет</w:t>
      </w:r>
      <w:r>
        <w:rPr>
          <w:sz w:val="28"/>
          <w:szCs w:val="28"/>
        </w:rPr>
        <w:t>илівської міської територіальної громади, та які отримали травми (поранення, контузії каліцтва), пов’язані з захистом Батьківщини.</w:t>
      </w:r>
    </w:p>
    <w:p w:rsidR="00237503" w:rsidRDefault="004A10E4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Даний Порядок передбачає обробку персональних даних громадян за згодою заявника відповідно до чинного законодавства.</w:t>
      </w:r>
    </w:p>
    <w:p w:rsidR="00237503" w:rsidRDefault="004A10E4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2. Грошо</w:t>
      </w:r>
      <w:r>
        <w:rPr>
          <w:sz w:val="28"/>
          <w:szCs w:val="28"/>
        </w:rPr>
        <w:t>ва допомога не носить постійного характеру, а є додатком до існуючого доходу і надається одноразово за умови надання відповідних документів, які підтверджують статус особи вище зазначеної категорії.</w:t>
      </w:r>
    </w:p>
    <w:p w:rsidR="00237503" w:rsidRDefault="004A10E4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3. Грошова допомога виплачується відповідно до кошторису,</w:t>
      </w:r>
      <w:r>
        <w:rPr>
          <w:sz w:val="28"/>
          <w:szCs w:val="28"/>
        </w:rPr>
        <w:t xml:space="preserve"> затвердженого в бюджеті Решетилівської міської територіальної громади, в сумі 10 000,00 грн./особі.</w:t>
      </w:r>
    </w:p>
    <w:p w:rsidR="00237503" w:rsidRDefault="004A10E4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4. Для отримання допомоги до ЦНАП/уповноважених осіб </w:t>
      </w:r>
      <w:proofErr w:type="spellStart"/>
      <w:r>
        <w:rPr>
          <w:sz w:val="28"/>
          <w:szCs w:val="28"/>
        </w:rPr>
        <w:t>старостинських</w:t>
      </w:r>
      <w:proofErr w:type="spellEnd"/>
      <w:r>
        <w:rPr>
          <w:sz w:val="28"/>
          <w:szCs w:val="28"/>
        </w:rPr>
        <w:t xml:space="preserve"> округів подаються наступні документи:</w:t>
      </w:r>
    </w:p>
    <w:p w:rsidR="00237503" w:rsidRDefault="004A10E4">
      <w:pPr>
        <w:ind w:firstLine="567"/>
        <w:jc w:val="both"/>
      </w:pPr>
      <w:r>
        <w:rPr>
          <w:sz w:val="28"/>
          <w:szCs w:val="28"/>
        </w:rPr>
        <w:t xml:space="preserve">- згода на збір, а також на обробку персональних </w:t>
      </w:r>
      <w:r>
        <w:rPr>
          <w:sz w:val="28"/>
          <w:szCs w:val="28"/>
        </w:rPr>
        <w:t>даних відповідно до вимог </w:t>
      </w:r>
      <w:hyperlink r:id="rId5" w:anchor="_blank" w:history="1">
        <w:r>
          <w:rPr>
            <w:rStyle w:val="ListLabel1"/>
          </w:rPr>
          <w:t xml:space="preserve">Закону України </w:t>
        </w:r>
        <w:proofErr w:type="spellStart"/>
        <w:r>
          <w:rPr>
            <w:rStyle w:val="ListLabel1"/>
          </w:rPr>
          <w:t>„Про</w:t>
        </w:r>
        <w:proofErr w:type="spellEnd"/>
        <w:r>
          <w:rPr>
            <w:rStyle w:val="ListLabel1"/>
          </w:rPr>
          <w:t xml:space="preserve"> захист персональних </w:t>
        </w:r>
        <w:proofErr w:type="spellStart"/>
        <w:r>
          <w:rPr>
            <w:rStyle w:val="ListLabel1"/>
          </w:rPr>
          <w:t>даних</w:t>
        </w:r>
      </w:hyperlink>
      <w:r>
        <w:rPr>
          <w:sz w:val="28"/>
          <w:szCs w:val="28"/>
        </w:rPr>
        <w:t>ˮ</w:t>
      </w:r>
      <w:proofErr w:type="spellEnd"/>
      <w:r>
        <w:rPr>
          <w:sz w:val="28"/>
          <w:szCs w:val="28"/>
        </w:rPr>
        <w:t xml:space="preserve">; </w:t>
      </w:r>
    </w:p>
    <w:p w:rsidR="00237503" w:rsidRDefault="004A10E4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заява;</w:t>
      </w:r>
    </w:p>
    <w:p w:rsidR="00237503" w:rsidRDefault="004A10E4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копія довідки про обставини травми (поранення, контузії, каліцтва) (додаток 5 до П</w:t>
      </w:r>
      <w:r>
        <w:rPr>
          <w:sz w:val="28"/>
          <w:szCs w:val="28"/>
        </w:rPr>
        <w:t xml:space="preserve">оложення про військово-лікарську експертизу в ЗСУ); </w:t>
      </w:r>
    </w:p>
    <w:p w:rsidR="00237503" w:rsidRDefault="004A10E4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- копія </w:t>
      </w:r>
      <w:r>
        <w:rPr>
          <w:rFonts w:eastAsiaTheme="minorHAnsi"/>
          <w:sz w:val="28"/>
          <w:szCs w:val="28"/>
          <w:lang w:eastAsia="en-US"/>
        </w:rPr>
        <w:t xml:space="preserve">виписки із медичної карти амбулаторного (стаціонарного) хворого (форма № 027/о); консультаційного </w:t>
      </w:r>
      <w:proofErr w:type="spellStart"/>
      <w:r>
        <w:rPr>
          <w:rFonts w:eastAsiaTheme="minorHAnsi"/>
          <w:sz w:val="28"/>
          <w:szCs w:val="28"/>
          <w:lang w:eastAsia="en-US"/>
        </w:rPr>
        <w:t>висновка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спеціаліста (форма № 028/о) – для громадян, які направляються на консультацію, в тому чи</w:t>
      </w:r>
      <w:r>
        <w:rPr>
          <w:rFonts w:eastAsiaTheme="minorHAnsi"/>
          <w:sz w:val="28"/>
          <w:szCs w:val="28"/>
          <w:lang w:eastAsia="en-US"/>
        </w:rPr>
        <w:t>слі й для необхідності оперативного втручання; довідка закладу охорони здоров’я про перебування на стаціонарному лікуванні;</w:t>
      </w:r>
    </w:p>
    <w:p w:rsidR="00237503" w:rsidRDefault="004A10E4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- копія документа, що підтверджує проходження військової служби; </w:t>
      </w:r>
    </w:p>
    <w:p w:rsidR="00237503" w:rsidRDefault="004A10E4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копія сторінок паспорта/ копія паспорта заявника у формі пластик</w:t>
      </w:r>
      <w:r>
        <w:rPr>
          <w:sz w:val="28"/>
          <w:szCs w:val="28"/>
        </w:rPr>
        <w:t>ової картки типу ID-1 (лицьового та зворотного боку);</w:t>
      </w:r>
    </w:p>
    <w:p w:rsidR="00237503" w:rsidRDefault="004A10E4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витяг з реєстру територіальної громади щодо реєстрації місця проживання мобілізованого;</w:t>
      </w:r>
    </w:p>
    <w:p w:rsidR="00237503" w:rsidRDefault="004A10E4">
      <w:pPr>
        <w:ind w:left="142"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копія довідки внутрішньо переміщеної особи;</w:t>
      </w:r>
    </w:p>
    <w:p w:rsidR="00237503" w:rsidRDefault="004A10E4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 - копія довідки про присвоєння реєстраційного номера облікової ка</w:t>
      </w:r>
      <w:r>
        <w:rPr>
          <w:sz w:val="28"/>
          <w:szCs w:val="28"/>
        </w:rPr>
        <w:t>рти платника податків;</w:t>
      </w:r>
    </w:p>
    <w:p w:rsidR="00237503" w:rsidRDefault="004A10E4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банківські реквізити для проведення платіжних операцій мобілізованого.</w:t>
      </w:r>
    </w:p>
    <w:p w:rsidR="00237503" w:rsidRDefault="004A10E4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5. Матеріальна допомога не виплачується в разі якщо травма пов’язана з вчиненням кримінального чи адміністративного правопорушення, є наслідком вчинення дій в с</w:t>
      </w:r>
      <w:r>
        <w:rPr>
          <w:sz w:val="28"/>
          <w:szCs w:val="28"/>
        </w:rPr>
        <w:t>тані алкогольного, наркотичного чи токсичного сп’яніння, є наслідком навмисного заподіяння собі тілесного ушкодження та не пов’язана із захистом Батьківщини. Також,  матеріальна допомога не виплачується, в разі, якщо військовослужбовець під час отримання т</w:t>
      </w:r>
      <w:r>
        <w:rPr>
          <w:sz w:val="28"/>
          <w:szCs w:val="28"/>
        </w:rPr>
        <w:t>равми не перебував в засобах індивідуального захисту (шолом, бронежилет).</w:t>
      </w:r>
    </w:p>
    <w:p w:rsidR="00237503" w:rsidRDefault="004A10E4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6. В разі відсутності можливості подачі документів військовослужбовцем, документи на отримання грошової допомоги можуть бути подані членом сім’ї за умови пред’явлення  документу підт</w:t>
      </w:r>
      <w:r>
        <w:rPr>
          <w:sz w:val="28"/>
          <w:szCs w:val="28"/>
        </w:rPr>
        <w:t>верджуючого родинні відносини.</w:t>
      </w:r>
      <w:r>
        <w:t xml:space="preserve"> </w:t>
      </w:r>
    </w:p>
    <w:p w:rsidR="00237503" w:rsidRDefault="004A10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Після розгляду пакету документів готується розпорядження міського голови, копія якого передається у відділ бухгалтерсько</w:t>
      </w:r>
      <w:r>
        <w:rPr>
          <w:sz w:val="28"/>
          <w:szCs w:val="28"/>
        </w:rPr>
        <w:t>го обліку, звітності та  адміністративно-господарського забезпечення для виплати грошової допомоги.</w:t>
      </w:r>
    </w:p>
    <w:p w:rsidR="00237503" w:rsidRDefault="004A10E4">
      <w:pPr>
        <w:ind w:firstLine="567"/>
        <w:jc w:val="both"/>
      </w:pPr>
      <w:r>
        <w:rPr>
          <w:sz w:val="28"/>
          <w:szCs w:val="28"/>
        </w:rPr>
        <w:t>8</w:t>
      </w:r>
      <w:r>
        <w:rPr>
          <w:sz w:val="28"/>
          <w:szCs w:val="28"/>
        </w:rPr>
        <w:t>. Грошова допомога також виплачується у разі повторної травми (поранення, контузії, каліцтва), одержаних під час захисту Батьківщини.</w:t>
      </w:r>
    </w:p>
    <w:p w:rsidR="00237503" w:rsidRDefault="00237503">
      <w:pPr>
        <w:ind w:firstLine="567"/>
        <w:jc w:val="both"/>
        <w:rPr>
          <w:sz w:val="28"/>
          <w:szCs w:val="28"/>
        </w:rPr>
      </w:pPr>
    </w:p>
    <w:p w:rsidR="00237503" w:rsidRDefault="00237503">
      <w:pPr>
        <w:ind w:firstLine="567"/>
        <w:jc w:val="both"/>
        <w:rPr>
          <w:sz w:val="28"/>
          <w:szCs w:val="28"/>
        </w:rPr>
      </w:pPr>
    </w:p>
    <w:p w:rsidR="00237503" w:rsidRDefault="00237503">
      <w:pPr>
        <w:ind w:firstLine="567"/>
        <w:jc w:val="both"/>
        <w:rPr>
          <w:sz w:val="28"/>
          <w:szCs w:val="28"/>
        </w:rPr>
      </w:pPr>
    </w:p>
    <w:p w:rsidR="00237503" w:rsidRDefault="00237503">
      <w:pPr>
        <w:ind w:firstLine="567"/>
        <w:jc w:val="both"/>
        <w:rPr>
          <w:sz w:val="28"/>
          <w:szCs w:val="28"/>
        </w:rPr>
      </w:pPr>
    </w:p>
    <w:p w:rsidR="00237503" w:rsidRDefault="004A10E4">
      <w:pPr>
        <w:keepLines/>
        <w:jc w:val="both"/>
        <w:rPr>
          <w:color w:val="000000"/>
          <w:sz w:val="28"/>
          <w:szCs w:val="28"/>
        </w:rPr>
      </w:pPr>
      <w:bookmarkStart w:id="1" w:name="__DdeLink__5621_2626712901"/>
      <w:bookmarkEnd w:id="1"/>
      <w:r>
        <w:rPr>
          <w:color w:val="000000"/>
          <w:sz w:val="28"/>
          <w:szCs w:val="28"/>
        </w:rPr>
        <w:t xml:space="preserve">Начальник відділу з питань </w:t>
      </w:r>
    </w:p>
    <w:p w:rsidR="00237503" w:rsidRDefault="004A10E4">
      <w:pPr>
        <w:keepLine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ветеранської політики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Михайло ТІТІК</w:t>
      </w:r>
    </w:p>
    <w:p w:rsidR="00237503" w:rsidRDefault="00237503">
      <w:pPr>
        <w:ind w:firstLine="567"/>
        <w:jc w:val="both"/>
        <w:rPr>
          <w:color w:val="000000"/>
          <w:sz w:val="28"/>
          <w:szCs w:val="28"/>
        </w:rPr>
      </w:pPr>
    </w:p>
    <w:p w:rsidR="00237503" w:rsidRDefault="00237503">
      <w:pPr>
        <w:ind w:firstLine="567"/>
        <w:jc w:val="both"/>
      </w:pPr>
    </w:p>
    <w:sectPr w:rsidR="00237503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503"/>
    <w:rsid w:val="00237503"/>
    <w:rsid w:val="004A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9EC"/>
    <w:rPr>
      <w:rFonts w:ascii="Times New Roman" w:eastAsia="Noto Sans CJK SC" w:hAnsi="Times New Roman" w:cs="Lohit Devanagari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sz w:val="28"/>
      <w:szCs w:val="28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sz w:val="28"/>
      <w:szCs w:val="28"/>
    </w:rPr>
  </w:style>
  <w:style w:type="character" w:customStyle="1" w:styleId="ListLabel3">
    <w:name w:val="ListLabel 3"/>
    <w:qFormat/>
    <w:rPr>
      <w:sz w:val="28"/>
      <w:szCs w:val="28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7">
    <w:name w:val="index heading"/>
    <w:basedOn w:val="a"/>
    <w:qFormat/>
    <w:pPr>
      <w:suppressLineNumbers/>
    </w:pPr>
    <w:rPr>
      <w:rFonts w:cs="Arial Unicode MS"/>
    </w:rPr>
  </w:style>
  <w:style w:type="paragraph" w:customStyle="1" w:styleId="a8">
    <w:name w:val="Содержимое таблицы"/>
    <w:basedOn w:val="a"/>
    <w:qFormat/>
    <w:rsid w:val="003E59EC"/>
    <w:pPr>
      <w:suppressLineNumbers/>
    </w:pPr>
  </w:style>
  <w:style w:type="paragraph" w:styleId="a9">
    <w:name w:val="Balloon Text"/>
    <w:basedOn w:val="a"/>
    <w:link w:val="aa"/>
    <w:uiPriority w:val="99"/>
    <w:semiHidden/>
    <w:unhideWhenUsed/>
    <w:rsid w:val="004A10E4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4A10E4"/>
    <w:rPr>
      <w:rFonts w:ascii="Tahoma" w:eastAsia="Noto Sans CJK SC" w:hAnsi="Tahoma" w:cs="Mangal"/>
      <w:kern w:val="2"/>
      <w:sz w:val="16"/>
      <w:szCs w:val="14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9EC"/>
    <w:rPr>
      <w:rFonts w:ascii="Times New Roman" w:eastAsia="Noto Sans CJK SC" w:hAnsi="Times New Roman" w:cs="Lohit Devanagari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sz w:val="28"/>
      <w:szCs w:val="28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sz w:val="28"/>
      <w:szCs w:val="28"/>
    </w:rPr>
  </w:style>
  <w:style w:type="character" w:customStyle="1" w:styleId="ListLabel3">
    <w:name w:val="ListLabel 3"/>
    <w:qFormat/>
    <w:rPr>
      <w:sz w:val="28"/>
      <w:szCs w:val="28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7">
    <w:name w:val="index heading"/>
    <w:basedOn w:val="a"/>
    <w:qFormat/>
    <w:pPr>
      <w:suppressLineNumbers/>
    </w:pPr>
    <w:rPr>
      <w:rFonts w:cs="Arial Unicode MS"/>
    </w:rPr>
  </w:style>
  <w:style w:type="paragraph" w:customStyle="1" w:styleId="a8">
    <w:name w:val="Содержимое таблицы"/>
    <w:basedOn w:val="a"/>
    <w:qFormat/>
    <w:rsid w:val="003E59EC"/>
    <w:pPr>
      <w:suppressLineNumbers/>
    </w:pPr>
  </w:style>
  <w:style w:type="paragraph" w:styleId="a9">
    <w:name w:val="Balloon Text"/>
    <w:basedOn w:val="a"/>
    <w:link w:val="aa"/>
    <w:uiPriority w:val="99"/>
    <w:semiHidden/>
    <w:unhideWhenUsed/>
    <w:rsid w:val="004A10E4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4A10E4"/>
    <w:rPr>
      <w:rFonts w:ascii="Tahoma" w:eastAsia="Noto Sans CJK SC" w:hAnsi="Tahoma" w:cs="Mangal"/>
      <w:kern w:val="2"/>
      <w:sz w:val="16"/>
      <w:szCs w:val="14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ps.ligazakon.net/document/view/T102297?ed=2017_10_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dc:description/>
  <cp:lastModifiedBy>User-PC</cp:lastModifiedBy>
  <cp:revision>10</cp:revision>
  <cp:lastPrinted>2026-04-02T07:22:00Z</cp:lastPrinted>
  <dcterms:created xsi:type="dcterms:W3CDTF">2026-03-11T07:40:00Z</dcterms:created>
  <dcterms:modified xsi:type="dcterms:W3CDTF">2026-04-02T07:23:00Z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